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26.08.2022 N 778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архивоведение"</w:t>
              <w:br/>
              <w:t xml:space="preserve">(Зарегистрировано в Минюсте России 30.09.2022 N 70318)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30 сентября 2022 г. N 70318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августа 2022 г. N 778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46.02.01 ДОКУМЕНТАЦИОННОЕ ОБЕСПЕЧЕНИЕ</w:t>
      </w:r>
    </w:p>
    <w:p>
      <w:pPr>
        <w:pStyle w:val="2"/>
        <w:jc w:val="center"/>
      </w:pPr>
      <w:r>
        <w:rPr>
          <w:sz w:val="20"/>
        </w:rPr>
        <w:t xml:space="preserve">УПРАВЛЕНИЯ И АРХИВОВЕДЕНИЕ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46.02.01 Документационное обеспечение управления и архивоведение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46.02.01</w:t>
        </w:r>
      </w:hyperlink>
      <w:r>
        <w:rPr>
          <w:sz w:val="20"/>
        </w:rPr>
        <w:t xml:space="preserve"> Документационное обеспечение управления и архивоведение, утвержденным приказом Министерства образования и науки Российской Федерации от 11 августа 2014 г. N 975 (зарегистрирован Министерством юстиции Российской Федерации 20 августа 2014 г., регистрационный N 33682),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августа 2022 г. N 778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46.02.01 ДОКУМЕНТАЦИОННОЕ ОБЕСПЕЧЕНИЕ</w:t>
      </w:r>
    </w:p>
    <w:p>
      <w:pPr>
        <w:pStyle w:val="2"/>
        <w:jc w:val="center"/>
      </w:pPr>
      <w:r>
        <w:rPr>
          <w:sz w:val="20"/>
        </w:rPr>
        <w:t xml:space="preserve">УПРАВЛЕНИЯ И АРХИВОВЕДЕНИЕ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46.02.01 Документационное обеспечение управления и архивоведение (далее соответственно - ФГОС СПО, образовательная программа, специальность) в соответствии с квалификацией специалиста среднего звена "специалист по документационному обеспечению управления и архивному делу"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2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3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4" w:name="P64"/>
    <w:bookmarkEnd w:id="64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4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07</w:t>
        </w:r>
      </w:hyperlink>
      <w:r>
        <w:rPr>
          <w:sz w:val="20"/>
        </w:rPr>
        <w:t xml:space="preserve"> Административно-управленческая и офисная деятельность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8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4308"/>
      </w:tblGrid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432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1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организационного и документационного обеспечения деятельности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архивной работы по документам организаций различных форм собственности.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"Экономика организации", "Менеджмент", "Профессиональная этика и основы делового общения", "Правовые основы профессиональной деятельности", "Информационные и коммуникационные технологии", "Русский язык в профессиональной деятельности", "Компьютерная обработка документов".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профессиональной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2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6.02.01 Документационное обеспечение управления и архивоведение (далее соответственно - ФГОС СПО, образовательная программа, специальность) в соответствии с квалификацией специалиста среднего звена &quot;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1" w:name="P131"/>
    <w:bookmarkEnd w:id="131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6122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организационного и документационного обеспечения деятельности организации</w:t>
            </w:r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Осуществлять прием-передачу управленческой информации с помощью средств информационных и коммуникационных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Координировать работу приемной руководителя, зон приема различных категорий посетителей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Владеть навыками планирования рабочего времени руководителя и секретаря.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Осуществлять подготовку деловых поездок руководителя и других сотрудников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Владеть способами организации рабочего пространства приемной и кабинета руководителя.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Осуществлять работу по подготовке и проведению конферентных мероприятий, обеспечивать информационное взаимодействие руководителя с подразделениями и должностными лицами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1.7. Оформлять организационно-распорядительные документы и организовывать работу с ними, в том числе с использованием автоматизированных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1.8. Оформлять документы по личному составу и организовывать работу с ними, в том числе с использованием автоматизированных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1.9. 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архивной работы по документам организаций различных форм собственности</w:t>
            </w:r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комплектование архивными делами (документами) архива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Вести учет архивных дел (документов), в том числе с использованием автоматизированных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хранение архивных дел (документов) с постоянным сроком хранения и по личному составу в архиве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Осуществлять хранение, комплектование, учет и использование дел (документов) временного хранения.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Осуществлять использование архивных дел (документов), в том числе с использованием автоматизированных систем.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hyperlink w:history="0" r:id="rId18" w:tooltip="Приказ Минпросвещения России от 14.07.2023 N 534 (ред. от 29.02.2024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14.08.2023 N 74776)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9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0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w:history="0" r:id="rId21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w:history="0" r:id="rId2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w:history="0" r:id="rId2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7 Административно-управленческая и офисная деятельность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7 Административно-управленческая и офисная деятельность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7 Административно-управленческая и офисная деятельность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объеме, не ниже определенного в соответствии с бюджетным законодательством Российской Федерации &lt;8&gt; и Федеральным </w:t>
      </w:r>
      <w:hyperlink w:history="0" r:id="rId24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5" w:tooltip="&quot;Бюджетный кодекс Российской Федерации&quot; от 31.07.1998 N 145-ФЗ (ред. от 13.07.2024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29, ст. 5305).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Собрание законодательства Российской Федерации, 2012, N 53, ст. 7598; 2022, N 29, ст. 5262.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осуществляться,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26.08.2022 N 778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734&amp;dst=100051" TargetMode = "External"/>
	<Relationship Id="rId8" Type="http://schemas.openxmlformats.org/officeDocument/2006/relationships/hyperlink" Target="https://login.consultant.ru/link/?req=doc&amp;base=LAW&amp;n=481262&amp;dst=100072" TargetMode = "External"/>
	<Relationship Id="rId9" Type="http://schemas.openxmlformats.org/officeDocument/2006/relationships/hyperlink" Target="https://login.consultant.ru/link/?req=doc&amp;base=LAW&amp;n=398376&amp;dst=100012" TargetMode = "External"/>
	<Relationship Id="rId10" Type="http://schemas.openxmlformats.org/officeDocument/2006/relationships/hyperlink" Target="https://login.consultant.ru/link/?req=doc&amp;base=LAW&amp;n=377712&amp;dst=101664" TargetMode = "External"/>
	<Relationship Id="rId11" Type="http://schemas.openxmlformats.org/officeDocument/2006/relationships/hyperlink" Target="https://login.consultant.ru/link/?req=doc&amp;base=LAW&amp;n=477946&amp;dst=100562" TargetMode = "External"/>
	<Relationship Id="rId12" Type="http://schemas.openxmlformats.org/officeDocument/2006/relationships/hyperlink" Target="https://login.consultant.ru/link/?req=doc&amp;base=LAW&amp;n=426546&amp;dst=4" TargetMode = "External"/>
	<Relationship Id="rId13" Type="http://schemas.openxmlformats.org/officeDocument/2006/relationships/hyperlink" Target="https://login.consultant.ru/link/?req=doc&amp;base=LAW&amp;n=426546&amp;dst=4" TargetMode = "External"/>
	<Relationship Id="rId14" Type="http://schemas.openxmlformats.org/officeDocument/2006/relationships/hyperlink" Target="https://login.consultant.ru/link/?req=doc&amp;base=LAW&amp;n=478592&amp;dst=446" TargetMode = "External"/>
	<Relationship Id="rId15" Type="http://schemas.openxmlformats.org/officeDocument/2006/relationships/hyperlink" Target="https://login.consultant.ru/link/?req=doc&amp;base=LAW&amp;n=478592&amp;dst=100249" TargetMode = "External"/>
	<Relationship Id="rId16" Type="http://schemas.openxmlformats.org/officeDocument/2006/relationships/hyperlink" Target="https://login.consultant.ru/link/?req=doc&amp;base=LAW&amp;n=214720&amp;dst=100062" TargetMode = "External"/>
	<Relationship Id="rId17" Type="http://schemas.openxmlformats.org/officeDocument/2006/relationships/hyperlink" Target="https://login.consultant.ru/link/?req=doc&amp;base=LAW&amp;n=214720&amp;dst=100047" TargetMode = "External"/>
	<Relationship Id="rId18" Type="http://schemas.openxmlformats.org/officeDocument/2006/relationships/hyperlink" Target="https://login.consultant.ru/link/?req=doc&amp;base=LAW&amp;n=473789&amp;dst=100019" TargetMode = "External"/>
	<Relationship Id="rId19" Type="http://schemas.openxmlformats.org/officeDocument/2006/relationships/hyperlink" Target="https://login.consultant.ru/link/?req=doc&amp;base=LAW&amp;n=478592&amp;dst=415" TargetMode = "External"/>
	<Relationship Id="rId20" Type="http://schemas.openxmlformats.org/officeDocument/2006/relationships/hyperlink" Target="https://login.consultant.ru/link/?req=doc&amp;base=LAW&amp;n=452886" TargetMode = "External"/>
	<Relationship Id="rId21" Type="http://schemas.openxmlformats.org/officeDocument/2006/relationships/hyperlink" Target="https://login.consultant.ru/link/?req=doc&amp;base=LAW&amp;n=371594&amp;dst=100047" TargetMode = "External"/>
	<Relationship Id="rId22" Type="http://schemas.openxmlformats.org/officeDocument/2006/relationships/hyperlink" Target="https://login.consultant.ru/link/?req=doc&amp;base=LAW&amp;n=367564&amp;dst=100037" TargetMode = "External"/>
	<Relationship Id="rId23" Type="http://schemas.openxmlformats.org/officeDocument/2006/relationships/hyperlink" Target="https://login.consultant.ru/link/?req=doc&amp;base=LAW&amp;n=441707&amp;dst=100137" TargetMode = "External"/>
	<Relationship Id="rId24" Type="http://schemas.openxmlformats.org/officeDocument/2006/relationships/hyperlink" Target="https://login.consultant.ru/link/?req=doc&amp;base=LAW&amp;n=478592" TargetMode = "External"/>
	<Relationship Id="rId25" Type="http://schemas.openxmlformats.org/officeDocument/2006/relationships/hyperlink" Target="https://login.consultant.ru/link/?req=doc&amp;base=LAW&amp;n=4808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26.08.2022 N 778
"Об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архивоведение"
(Зарегистрировано в Минюсте России 30.09.2022 N 70318)</dc:title>
  <dcterms:created xsi:type="dcterms:W3CDTF">2024-08-08T08:50:40Z</dcterms:created>
</cp:coreProperties>
</file>